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92FE" w14:textId="77777777" w:rsidR="000F6C1C" w:rsidRDefault="000F6C1C" w:rsidP="000F6C1C">
      <w:pPr>
        <w:spacing w:line="240" w:lineRule="auto"/>
        <w:contextualSpacing/>
        <w:jc w:val="both"/>
      </w:pPr>
      <w:r w:rsidRPr="000B3424">
        <w:rPr>
          <w:noProof/>
        </w:rPr>
        <w:drawing>
          <wp:inline distT="0" distB="0" distL="0" distR="0" wp14:anchorId="5308BCBE" wp14:editId="113DB6EB">
            <wp:extent cx="2018805" cy="1151255"/>
            <wp:effectExtent l="0" t="0" r="635" b="0"/>
            <wp:docPr id="217697862" name="Slika 1" descr="Slika na kojoj se prikazuje tekst, snimka zaslona, logotip,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97862" name="Slika 1" descr="Slika na kojoj se prikazuje tekst, snimka zaslona, logotip, simbol&#10;&#10;Sadržaj generiran umjetnom inteligencijom može biti netočan."/>
                    <pic:cNvPicPr/>
                  </pic:nvPicPr>
                  <pic:blipFill rotWithShape="1">
                    <a:blip r:embed="rId4"/>
                    <a:srcRect l="9513" r="23075"/>
                    <a:stretch/>
                  </pic:blipFill>
                  <pic:spPr bwMode="auto">
                    <a:xfrm>
                      <a:off x="0" y="0"/>
                      <a:ext cx="2024381" cy="1154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E2F563" w14:textId="77777777" w:rsidR="000F6C1C" w:rsidRDefault="000F6C1C" w:rsidP="000F6C1C">
      <w:pPr>
        <w:spacing w:line="240" w:lineRule="auto"/>
        <w:contextualSpacing/>
        <w:jc w:val="both"/>
      </w:pPr>
    </w:p>
    <w:p w14:paraId="4FECAC02" w14:textId="77777777" w:rsidR="000F6C1C" w:rsidRDefault="000F6C1C" w:rsidP="000F6C1C">
      <w:pPr>
        <w:spacing w:line="240" w:lineRule="auto"/>
        <w:contextualSpacing/>
        <w:jc w:val="both"/>
      </w:pPr>
      <w:r w:rsidRPr="00E00D91">
        <w:t>Temeljem članka 86. Zakona o proračunu ("Narodne novine" broj 144/2021) i članka 52.</w:t>
      </w:r>
      <w:r>
        <w:t xml:space="preserve"> </w:t>
      </w:r>
      <w:r w:rsidRPr="00E00D91">
        <w:t>Pravilnika o polugodišnjem i</w:t>
      </w:r>
      <w:r>
        <w:t xml:space="preserve"> </w:t>
      </w:r>
      <w:r w:rsidRPr="00E00D91">
        <w:t>godišnjem izvješću o izvršenju proračuna i financijskog plana ("Narodne novine" broj 85/2023), članka 18. Zakona o</w:t>
      </w:r>
      <w:r>
        <w:t xml:space="preserve"> </w:t>
      </w:r>
      <w:r w:rsidRPr="00E00D91">
        <w:t>knjižnicama i knjižničnoj djelatnosti ("Narodne novine" broj 17/2019), te članka 19. Statuta Gradske knjižnice</w:t>
      </w:r>
      <w:r>
        <w:t xml:space="preserve"> </w:t>
      </w:r>
      <w:r w:rsidRPr="00E00D91">
        <w:t>Grada Donjeg Miholjca, ravnateljica Knjižnice je 26. veljače 2025. godine donijela:</w:t>
      </w:r>
    </w:p>
    <w:p w14:paraId="458FA8C9" w14:textId="77777777" w:rsidR="000F6C1C" w:rsidRDefault="000F6C1C" w:rsidP="000F6C1C">
      <w:pPr>
        <w:spacing w:line="240" w:lineRule="auto"/>
        <w:contextualSpacing/>
        <w:jc w:val="both"/>
      </w:pPr>
    </w:p>
    <w:p w14:paraId="334AFB9D" w14:textId="77777777" w:rsidR="000F6C1C" w:rsidRPr="002B02C9" w:rsidRDefault="000F6C1C" w:rsidP="000F6C1C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2B02C9">
        <w:rPr>
          <w:b/>
          <w:bCs/>
          <w:sz w:val="28"/>
          <w:szCs w:val="28"/>
        </w:rPr>
        <w:t>IZVRŠENJE FINANCIJSKOG PLANA ZA 2024. GODINU</w:t>
      </w:r>
    </w:p>
    <w:p w14:paraId="5EA392A5" w14:textId="77777777" w:rsidR="000F6C1C" w:rsidRDefault="000F6C1C" w:rsidP="000F6C1C"/>
    <w:p w14:paraId="443DB143" w14:textId="77777777" w:rsidR="000F6C1C" w:rsidRPr="002B02C9" w:rsidRDefault="000F6C1C" w:rsidP="000F6C1C">
      <w:pPr>
        <w:rPr>
          <w:b/>
          <w:bCs/>
        </w:rPr>
      </w:pPr>
      <w:r w:rsidRPr="002B02C9">
        <w:rPr>
          <w:b/>
          <w:bCs/>
        </w:rPr>
        <w:t>Članak 1.</w:t>
      </w:r>
    </w:p>
    <w:p w14:paraId="0DC631B5" w14:textId="77777777" w:rsidR="000F6C1C" w:rsidRDefault="000F6C1C" w:rsidP="000F6C1C">
      <w:r>
        <w:t>Financijski plan Gradske knjižnice Grada Donjeg Miholjca izvršen je za razdoblje od 01. siječnja do 31. prosinca 2024. godine i sastoji se od:</w:t>
      </w:r>
    </w:p>
    <w:p w14:paraId="076DA27B" w14:textId="77777777" w:rsidR="000F6C1C" w:rsidRDefault="000F6C1C" w:rsidP="000F6C1C">
      <w:pPr>
        <w:spacing w:line="240" w:lineRule="auto"/>
        <w:contextualSpacing/>
      </w:pPr>
      <w:r>
        <w:t>SAŽETAK RAČUNA PRIHODA I RASHODA</w:t>
      </w:r>
    </w:p>
    <w:p w14:paraId="13FF053B" w14:textId="77777777" w:rsidR="000F6C1C" w:rsidRDefault="000F6C1C" w:rsidP="000F6C1C">
      <w:pPr>
        <w:spacing w:line="240" w:lineRule="auto"/>
        <w:contextualSpacing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559"/>
        <w:gridCol w:w="1554"/>
      </w:tblGrid>
      <w:tr w:rsidR="000F6C1C" w14:paraId="26B6CAF1" w14:textId="77777777" w:rsidTr="00FC437B">
        <w:tc>
          <w:tcPr>
            <w:tcW w:w="4106" w:type="dxa"/>
          </w:tcPr>
          <w:p w14:paraId="397852EB" w14:textId="77777777" w:rsidR="000F6C1C" w:rsidRPr="000B3424" w:rsidRDefault="000F6C1C" w:rsidP="00FC437B">
            <w:pPr>
              <w:contextualSpacing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RAČUN PRIHODA I RASHODA</w:t>
            </w:r>
          </w:p>
        </w:tc>
        <w:tc>
          <w:tcPr>
            <w:tcW w:w="1843" w:type="dxa"/>
          </w:tcPr>
          <w:p w14:paraId="5811DAD6" w14:textId="77777777" w:rsidR="000F6C1C" w:rsidRPr="000B3424" w:rsidRDefault="000F6C1C" w:rsidP="00FC437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Ostvareno 2023.</w:t>
            </w:r>
          </w:p>
        </w:tc>
        <w:tc>
          <w:tcPr>
            <w:tcW w:w="1559" w:type="dxa"/>
          </w:tcPr>
          <w:p w14:paraId="400518F0" w14:textId="77777777" w:rsidR="000F6C1C" w:rsidRPr="000B3424" w:rsidRDefault="000F6C1C" w:rsidP="00FC437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 xml:space="preserve">I. Rebalans </w:t>
            </w:r>
          </w:p>
          <w:p w14:paraId="1E9A76D2" w14:textId="77777777" w:rsidR="000F6C1C" w:rsidRPr="000B3424" w:rsidRDefault="000F6C1C" w:rsidP="00FC437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2024.</w:t>
            </w:r>
          </w:p>
        </w:tc>
        <w:tc>
          <w:tcPr>
            <w:tcW w:w="1554" w:type="dxa"/>
          </w:tcPr>
          <w:p w14:paraId="26CD22A5" w14:textId="77777777" w:rsidR="000F6C1C" w:rsidRPr="000B3424" w:rsidRDefault="000F6C1C" w:rsidP="00FC437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Ostvareno 2024.</w:t>
            </w:r>
          </w:p>
        </w:tc>
      </w:tr>
      <w:tr w:rsidR="000F6C1C" w14:paraId="6F856FAA" w14:textId="77777777" w:rsidTr="00FC437B">
        <w:tc>
          <w:tcPr>
            <w:tcW w:w="4106" w:type="dxa"/>
          </w:tcPr>
          <w:p w14:paraId="4D943F77" w14:textId="77777777" w:rsidR="000F6C1C" w:rsidRDefault="000F6C1C" w:rsidP="00FC437B">
            <w:pPr>
              <w:contextualSpacing/>
            </w:pPr>
            <w:r>
              <w:t>Prihodi poslovanja</w:t>
            </w:r>
          </w:p>
        </w:tc>
        <w:tc>
          <w:tcPr>
            <w:tcW w:w="1843" w:type="dxa"/>
          </w:tcPr>
          <w:p w14:paraId="4B538FBF" w14:textId="77777777" w:rsidR="000F6C1C" w:rsidRDefault="000F6C1C" w:rsidP="00FC437B">
            <w:pPr>
              <w:contextualSpacing/>
              <w:jc w:val="center"/>
            </w:pPr>
            <w:r>
              <w:t>88.787,67</w:t>
            </w:r>
          </w:p>
        </w:tc>
        <w:tc>
          <w:tcPr>
            <w:tcW w:w="1559" w:type="dxa"/>
          </w:tcPr>
          <w:p w14:paraId="5FBE7238" w14:textId="77777777" w:rsidR="000F6C1C" w:rsidRDefault="000F6C1C" w:rsidP="00FC437B">
            <w:pPr>
              <w:contextualSpacing/>
              <w:jc w:val="center"/>
            </w:pPr>
            <w:r>
              <w:t>103.125,33</w:t>
            </w:r>
          </w:p>
        </w:tc>
        <w:tc>
          <w:tcPr>
            <w:tcW w:w="1554" w:type="dxa"/>
          </w:tcPr>
          <w:p w14:paraId="2830B466" w14:textId="77777777" w:rsidR="000F6C1C" w:rsidRDefault="000F6C1C" w:rsidP="00FC437B">
            <w:pPr>
              <w:contextualSpacing/>
              <w:jc w:val="center"/>
            </w:pPr>
            <w:r>
              <w:t>91.770,08</w:t>
            </w:r>
          </w:p>
        </w:tc>
      </w:tr>
      <w:tr w:rsidR="000F6C1C" w14:paraId="422167E7" w14:textId="77777777" w:rsidTr="00FC437B">
        <w:tc>
          <w:tcPr>
            <w:tcW w:w="4106" w:type="dxa"/>
          </w:tcPr>
          <w:p w14:paraId="6D19B8F4" w14:textId="77777777" w:rsidR="000F6C1C" w:rsidRDefault="000F6C1C" w:rsidP="00FC437B">
            <w:pPr>
              <w:contextualSpacing/>
            </w:pPr>
            <w:r>
              <w:t>Prihodi od prodaje nefinancijske imovine</w:t>
            </w:r>
          </w:p>
        </w:tc>
        <w:tc>
          <w:tcPr>
            <w:tcW w:w="1843" w:type="dxa"/>
          </w:tcPr>
          <w:p w14:paraId="0ED94D93" w14:textId="77777777" w:rsidR="000F6C1C" w:rsidRDefault="000F6C1C" w:rsidP="00FC437B">
            <w:pPr>
              <w:contextualSpacing/>
              <w:jc w:val="center"/>
            </w:pPr>
            <w:r>
              <w:t>0,00</w:t>
            </w:r>
          </w:p>
        </w:tc>
        <w:tc>
          <w:tcPr>
            <w:tcW w:w="1559" w:type="dxa"/>
          </w:tcPr>
          <w:p w14:paraId="4181A74A" w14:textId="77777777" w:rsidR="000F6C1C" w:rsidRDefault="000F6C1C" w:rsidP="00FC437B">
            <w:pPr>
              <w:contextualSpacing/>
              <w:jc w:val="center"/>
            </w:pPr>
            <w:r>
              <w:t>0,00</w:t>
            </w:r>
          </w:p>
        </w:tc>
        <w:tc>
          <w:tcPr>
            <w:tcW w:w="1554" w:type="dxa"/>
          </w:tcPr>
          <w:p w14:paraId="25FBA624" w14:textId="77777777" w:rsidR="000F6C1C" w:rsidRDefault="000F6C1C" w:rsidP="00FC437B">
            <w:pPr>
              <w:contextualSpacing/>
              <w:jc w:val="center"/>
            </w:pPr>
            <w:r>
              <w:t>0,00</w:t>
            </w:r>
          </w:p>
        </w:tc>
      </w:tr>
      <w:tr w:rsidR="000F6C1C" w14:paraId="7752A285" w14:textId="77777777" w:rsidTr="00FC437B">
        <w:tc>
          <w:tcPr>
            <w:tcW w:w="4106" w:type="dxa"/>
          </w:tcPr>
          <w:p w14:paraId="169BE4EF" w14:textId="77777777" w:rsidR="000F6C1C" w:rsidRPr="000B3424" w:rsidRDefault="000F6C1C" w:rsidP="00FC437B">
            <w:pPr>
              <w:contextualSpacing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UKUPNO PRIHODA</w:t>
            </w:r>
          </w:p>
        </w:tc>
        <w:tc>
          <w:tcPr>
            <w:tcW w:w="1843" w:type="dxa"/>
          </w:tcPr>
          <w:p w14:paraId="75AA5A65" w14:textId="77777777" w:rsidR="000F6C1C" w:rsidRPr="000B3424" w:rsidRDefault="000F6C1C" w:rsidP="00FC437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88.787,67</w:t>
            </w:r>
          </w:p>
        </w:tc>
        <w:tc>
          <w:tcPr>
            <w:tcW w:w="1559" w:type="dxa"/>
          </w:tcPr>
          <w:p w14:paraId="235AD007" w14:textId="77777777" w:rsidR="000F6C1C" w:rsidRPr="000B3424" w:rsidRDefault="000F6C1C" w:rsidP="00FC437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103.125,33</w:t>
            </w:r>
          </w:p>
        </w:tc>
        <w:tc>
          <w:tcPr>
            <w:tcW w:w="1554" w:type="dxa"/>
          </w:tcPr>
          <w:p w14:paraId="6DEB4F6B" w14:textId="77777777" w:rsidR="000F6C1C" w:rsidRPr="000B3424" w:rsidRDefault="000F6C1C" w:rsidP="00FC437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91.770,08</w:t>
            </w:r>
          </w:p>
        </w:tc>
      </w:tr>
      <w:tr w:rsidR="000F6C1C" w14:paraId="5F52E670" w14:textId="77777777" w:rsidTr="00FC437B">
        <w:tc>
          <w:tcPr>
            <w:tcW w:w="4106" w:type="dxa"/>
          </w:tcPr>
          <w:p w14:paraId="3831C2D3" w14:textId="77777777" w:rsidR="000F6C1C" w:rsidRDefault="000F6C1C" w:rsidP="00FC437B">
            <w:pPr>
              <w:contextualSpacing/>
            </w:pPr>
            <w:r>
              <w:t>Rashodi poslovanja</w:t>
            </w:r>
          </w:p>
        </w:tc>
        <w:tc>
          <w:tcPr>
            <w:tcW w:w="1843" w:type="dxa"/>
          </w:tcPr>
          <w:p w14:paraId="680BF1E4" w14:textId="77777777" w:rsidR="000F6C1C" w:rsidRDefault="000F6C1C" w:rsidP="00FC437B">
            <w:pPr>
              <w:contextualSpacing/>
              <w:jc w:val="center"/>
            </w:pPr>
            <w:r>
              <w:t>56.917,11</w:t>
            </w:r>
          </w:p>
        </w:tc>
        <w:tc>
          <w:tcPr>
            <w:tcW w:w="1559" w:type="dxa"/>
          </w:tcPr>
          <w:p w14:paraId="2D4B9E7B" w14:textId="77777777" w:rsidR="000F6C1C" w:rsidRDefault="000F6C1C" w:rsidP="00FC437B">
            <w:pPr>
              <w:contextualSpacing/>
              <w:jc w:val="center"/>
            </w:pPr>
            <w:r>
              <w:t>70.690,00</w:t>
            </w:r>
          </w:p>
        </w:tc>
        <w:tc>
          <w:tcPr>
            <w:tcW w:w="1554" w:type="dxa"/>
          </w:tcPr>
          <w:p w14:paraId="490BA8AE" w14:textId="77777777" w:rsidR="000F6C1C" w:rsidRDefault="000F6C1C" w:rsidP="00FC437B">
            <w:pPr>
              <w:contextualSpacing/>
              <w:jc w:val="center"/>
            </w:pPr>
            <w:r>
              <w:t>68.830,83</w:t>
            </w:r>
          </w:p>
        </w:tc>
      </w:tr>
      <w:tr w:rsidR="000F6C1C" w14:paraId="3F0F7E4A" w14:textId="77777777" w:rsidTr="00FC437B">
        <w:tc>
          <w:tcPr>
            <w:tcW w:w="4106" w:type="dxa"/>
          </w:tcPr>
          <w:p w14:paraId="0A5F3E9E" w14:textId="77777777" w:rsidR="000F6C1C" w:rsidRDefault="000F6C1C" w:rsidP="00FC437B">
            <w:pPr>
              <w:contextualSpacing/>
            </w:pPr>
            <w:r>
              <w:t>Rashodi za nabavu nefinancijske imovine</w:t>
            </w:r>
          </w:p>
        </w:tc>
        <w:tc>
          <w:tcPr>
            <w:tcW w:w="1843" w:type="dxa"/>
          </w:tcPr>
          <w:p w14:paraId="02F1E468" w14:textId="77777777" w:rsidR="000F6C1C" w:rsidRDefault="000F6C1C" w:rsidP="00FC437B">
            <w:pPr>
              <w:contextualSpacing/>
              <w:jc w:val="center"/>
            </w:pPr>
            <w:r>
              <w:t>31.518,45</w:t>
            </w:r>
          </w:p>
        </w:tc>
        <w:tc>
          <w:tcPr>
            <w:tcW w:w="1559" w:type="dxa"/>
          </w:tcPr>
          <w:p w14:paraId="14D41551" w14:textId="77777777" w:rsidR="000F6C1C" w:rsidRDefault="000F6C1C" w:rsidP="00FC437B">
            <w:pPr>
              <w:contextualSpacing/>
              <w:jc w:val="center"/>
            </w:pPr>
            <w:r>
              <w:t>29.300,00</w:t>
            </w:r>
          </w:p>
        </w:tc>
        <w:tc>
          <w:tcPr>
            <w:tcW w:w="1554" w:type="dxa"/>
          </w:tcPr>
          <w:p w14:paraId="27428C5C" w14:textId="77777777" w:rsidR="000F6C1C" w:rsidRDefault="000F6C1C" w:rsidP="00FC437B">
            <w:pPr>
              <w:contextualSpacing/>
              <w:jc w:val="center"/>
            </w:pPr>
            <w:r>
              <w:t>29.400,76</w:t>
            </w:r>
          </w:p>
        </w:tc>
      </w:tr>
      <w:tr w:rsidR="000F6C1C" w14:paraId="7585741E" w14:textId="77777777" w:rsidTr="00FC437B">
        <w:tc>
          <w:tcPr>
            <w:tcW w:w="4106" w:type="dxa"/>
          </w:tcPr>
          <w:p w14:paraId="506CA0B1" w14:textId="77777777" w:rsidR="000F6C1C" w:rsidRPr="000B3424" w:rsidRDefault="000F6C1C" w:rsidP="00FC437B">
            <w:pPr>
              <w:contextualSpacing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UKUPNO RASHODA</w:t>
            </w:r>
          </w:p>
        </w:tc>
        <w:tc>
          <w:tcPr>
            <w:tcW w:w="1843" w:type="dxa"/>
          </w:tcPr>
          <w:p w14:paraId="725D8EE6" w14:textId="77777777" w:rsidR="000F6C1C" w:rsidRPr="000B3424" w:rsidRDefault="000F6C1C" w:rsidP="00FC437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88.435,56</w:t>
            </w:r>
          </w:p>
        </w:tc>
        <w:tc>
          <w:tcPr>
            <w:tcW w:w="1559" w:type="dxa"/>
          </w:tcPr>
          <w:p w14:paraId="0A3FFD47" w14:textId="77777777" w:rsidR="000F6C1C" w:rsidRPr="000B3424" w:rsidRDefault="000F6C1C" w:rsidP="00FC437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99.990,00</w:t>
            </w:r>
          </w:p>
        </w:tc>
        <w:tc>
          <w:tcPr>
            <w:tcW w:w="1554" w:type="dxa"/>
          </w:tcPr>
          <w:p w14:paraId="53E439AD" w14:textId="77777777" w:rsidR="000F6C1C" w:rsidRPr="000B3424" w:rsidRDefault="000F6C1C" w:rsidP="00FC437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93.233,59</w:t>
            </w:r>
          </w:p>
        </w:tc>
      </w:tr>
      <w:tr w:rsidR="000F6C1C" w14:paraId="6558A198" w14:textId="77777777" w:rsidTr="00FC437B">
        <w:tc>
          <w:tcPr>
            <w:tcW w:w="4106" w:type="dxa"/>
          </w:tcPr>
          <w:p w14:paraId="1BC48DAC" w14:textId="77777777" w:rsidR="000F6C1C" w:rsidRPr="00CA2D5F" w:rsidRDefault="000F6C1C" w:rsidP="00FC437B">
            <w:pPr>
              <w:contextualSpacing/>
              <w:rPr>
                <w:i/>
                <w:iCs/>
              </w:rPr>
            </w:pPr>
            <w:r w:rsidRPr="00CA2D5F">
              <w:rPr>
                <w:i/>
                <w:iCs/>
              </w:rPr>
              <w:t>RAZLIKA VIŠAK/MANJAK</w:t>
            </w:r>
          </w:p>
        </w:tc>
        <w:tc>
          <w:tcPr>
            <w:tcW w:w="1843" w:type="dxa"/>
          </w:tcPr>
          <w:p w14:paraId="5E7BD32E" w14:textId="77777777" w:rsidR="000F6C1C" w:rsidRPr="00CA2D5F" w:rsidRDefault="000F6C1C" w:rsidP="00FC437B">
            <w:pPr>
              <w:contextualSpacing/>
              <w:jc w:val="center"/>
              <w:rPr>
                <w:i/>
                <w:iCs/>
              </w:rPr>
            </w:pPr>
            <w:r w:rsidRPr="00CA2D5F">
              <w:rPr>
                <w:i/>
                <w:iCs/>
              </w:rPr>
              <w:t>352,11</w:t>
            </w:r>
          </w:p>
        </w:tc>
        <w:tc>
          <w:tcPr>
            <w:tcW w:w="1559" w:type="dxa"/>
          </w:tcPr>
          <w:p w14:paraId="4F61616E" w14:textId="77777777" w:rsidR="000F6C1C" w:rsidRPr="00CA2D5F" w:rsidRDefault="000F6C1C" w:rsidP="00FC437B">
            <w:pPr>
              <w:contextualSpacing/>
              <w:jc w:val="center"/>
              <w:rPr>
                <w:i/>
                <w:iCs/>
              </w:rPr>
            </w:pPr>
            <w:r w:rsidRPr="00CA2D5F">
              <w:rPr>
                <w:i/>
                <w:iCs/>
              </w:rPr>
              <w:t>3.135,33</w:t>
            </w:r>
          </w:p>
        </w:tc>
        <w:tc>
          <w:tcPr>
            <w:tcW w:w="1554" w:type="dxa"/>
          </w:tcPr>
          <w:p w14:paraId="65E38B01" w14:textId="77777777" w:rsidR="000F6C1C" w:rsidRPr="00CA2D5F" w:rsidRDefault="000F6C1C" w:rsidP="00FC437B">
            <w:pPr>
              <w:contextualSpacing/>
              <w:jc w:val="center"/>
              <w:rPr>
                <w:i/>
                <w:iCs/>
              </w:rPr>
            </w:pPr>
            <w:r w:rsidRPr="00CA2D5F">
              <w:rPr>
                <w:i/>
                <w:iCs/>
              </w:rPr>
              <w:t>-1.463,51</w:t>
            </w:r>
          </w:p>
        </w:tc>
      </w:tr>
    </w:tbl>
    <w:p w14:paraId="143C2434" w14:textId="77777777" w:rsidR="000F6C1C" w:rsidRDefault="000F6C1C" w:rsidP="000F6C1C">
      <w:pPr>
        <w:spacing w:line="240" w:lineRule="auto"/>
        <w:contextualSpacing/>
      </w:pPr>
    </w:p>
    <w:p w14:paraId="6245AC84" w14:textId="77777777" w:rsidR="000F6C1C" w:rsidRDefault="000F6C1C" w:rsidP="000F6C1C">
      <w:pPr>
        <w:spacing w:line="240" w:lineRule="auto"/>
        <w:contextualSpacing/>
      </w:pPr>
    </w:p>
    <w:p w14:paraId="25F824B0" w14:textId="77777777" w:rsidR="000F6C1C" w:rsidRDefault="000F6C1C" w:rsidP="000F6C1C">
      <w:pPr>
        <w:spacing w:line="240" w:lineRule="auto"/>
        <w:contextualSpacing/>
      </w:pPr>
      <w:r>
        <w:t>SAŽETAK RAČUNA FINANCIRANJA</w:t>
      </w:r>
    </w:p>
    <w:p w14:paraId="3BA43A85" w14:textId="77777777" w:rsidR="000F6C1C" w:rsidRDefault="000F6C1C" w:rsidP="000F6C1C">
      <w:pPr>
        <w:spacing w:line="240" w:lineRule="auto"/>
        <w:contextualSpacing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559"/>
        <w:gridCol w:w="1554"/>
      </w:tblGrid>
      <w:tr w:rsidR="000F6C1C" w14:paraId="732EEF6D" w14:textId="77777777" w:rsidTr="00FC437B">
        <w:tc>
          <w:tcPr>
            <w:tcW w:w="4106" w:type="dxa"/>
          </w:tcPr>
          <w:p w14:paraId="2665DE34" w14:textId="77777777" w:rsidR="000F6C1C" w:rsidRDefault="000F6C1C" w:rsidP="00FC437B">
            <w:pPr>
              <w:contextualSpacing/>
            </w:pPr>
            <w:r>
              <w:t>Primici od financijske imovine i zaduživanja</w:t>
            </w:r>
          </w:p>
        </w:tc>
        <w:tc>
          <w:tcPr>
            <w:tcW w:w="1843" w:type="dxa"/>
          </w:tcPr>
          <w:p w14:paraId="2D0A3B39" w14:textId="77777777" w:rsidR="000F6C1C" w:rsidRDefault="000F6C1C" w:rsidP="00FC437B">
            <w:pPr>
              <w:contextualSpacing/>
              <w:jc w:val="center"/>
            </w:pPr>
            <w:r>
              <w:t>0,00</w:t>
            </w:r>
          </w:p>
        </w:tc>
        <w:tc>
          <w:tcPr>
            <w:tcW w:w="1559" w:type="dxa"/>
          </w:tcPr>
          <w:p w14:paraId="7C8EB45F" w14:textId="77777777" w:rsidR="000F6C1C" w:rsidRDefault="000F6C1C" w:rsidP="00FC437B">
            <w:pPr>
              <w:contextualSpacing/>
              <w:jc w:val="center"/>
            </w:pPr>
            <w:r>
              <w:t>0,00</w:t>
            </w:r>
          </w:p>
        </w:tc>
        <w:tc>
          <w:tcPr>
            <w:tcW w:w="1554" w:type="dxa"/>
          </w:tcPr>
          <w:p w14:paraId="09AAA956" w14:textId="77777777" w:rsidR="000F6C1C" w:rsidRDefault="000F6C1C" w:rsidP="00FC437B">
            <w:pPr>
              <w:contextualSpacing/>
              <w:jc w:val="center"/>
            </w:pPr>
            <w:r>
              <w:t>0,00</w:t>
            </w:r>
          </w:p>
        </w:tc>
      </w:tr>
      <w:tr w:rsidR="000F6C1C" w14:paraId="74DBE218" w14:textId="77777777" w:rsidTr="00FC437B">
        <w:tc>
          <w:tcPr>
            <w:tcW w:w="4106" w:type="dxa"/>
          </w:tcPr>
          <w:p w14:paraId="6AA428B9" w14:textId="77777777" w:rsidR="000F6C1C" w:rsidRDefault="000F6C1C" w:rsidP="00FC437B">
            <w:pPr>
              <w:contextualSpacing/>
            </w:pPr>
            <w:r>
              <w:t>Izdaci za financijsku imovinu i otplate zajmova</w:t>
            </w:r>
          </w:p>
        </w:tc>
        <w:tc>
          <w:tcPr>
            <w:tcW w:w="1843" w:type="dxa"/>
          </w:tcPr>
          <w:p w14:paraId="36BB326D" w14:textId="77777777" w:rsidR="000F6C1C" w:rsidRDefault="000F6C1C" w:rsidP="00FC437B">
            <w:pPr>
              <w:contextualSpacing/>
              <w:jc w:val="center"/>
            </w:pPr>
            <w:r>
              <w:t>0,00</w:t>
            </w:r>
          </w:p>
        </w:tc>
        <w:tc>
          <w:tcPr>
            <w:tcW w:w="1559" w:type="dxa"/>
          </w:tcPr>
          <w:p w14:paraId="468A44AE" w14:textId="77777777" w:rsidR="000F6C1C" w:rsidRDefault="000F6C1C" w:rsidP="00FC437B">
            <w:pPr>
              <w:contextualSpacing/>
              <w:jc w:val="center"/>
            </w:pPr>
            <w:r>
              <w:t>0,00</w:t>
            </w:r>
          </w:p>
        </w:tc>
        <w:tc>
          <w:tcPr>
            <w:tcW w:w="1554" w:type="dxa"/>
          </w:tcPr>
          <w:p w14:paraId="4179B32F" w14:textId="77777777" w:rsidR="000F6C1C" w:rsidRDefault="000F6C1C" w:rsidP="00FC437B">
            <w:pPr>
              <w:contextualSpacing/>
              <w:jc w:val="center"/>
            </w:pPr>
            <w:r>
              <w:t>0,00</w:t>
            </w:r>
          </w:p>
        </w:tc>
      </w:tr>
      <w:tr w:rsidR="000F6C1C" w14:paraId="48394819" w14:textId="77777777" w:rsidTr="00FC437B">
        <w:tc>
          <w:tcPr>
            <w:tcW w:w="4106" w:type="dxa"/>
          </w:tcPr>
          <w:p w14:paraId="327DB29F" w14:textId="77777777" w:rsidR="000F6C1C" w:rsidRPr="000B3424" w:rsidRDefault="000F6C1C" w:rsidP="00FC437B">
            <w:pPr>
              <w:contextualSpacing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NETO FINANCIRANJE</w:t>
            </w:r>
          </w:p>
        </w:tc>
        <w:tc>
          <w:tcPr>
            <w:tcW w:w="1843" w:type="dxa"/>
          </w:tcPr>
          <w:p w14:paraId="1B3A5A00" w14:textId="77777777" w:rsidR="000F6C1C" w:rsidRPr="000B3424" w:rsidRDefault="000F6C1C" w:rsidP="00FC437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</w:tcPr>
          <w:p w14:paraId="289B7C7B" w14:textId="77777777" w:rsidR="000F6C1C" w:rsidRPr="000B3424" w:rsidRDefault="000F6C1C" w:rsidP="00FC437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4" w:type="dxa"/>
          </w:tcPr>
          <w:p w14:paraId="70034349" w14:textId="77777777" w:rsidR="000F6C1C" w:rsidRPr="000B3424" w:rsidRDefault="000F6C1C" w:rsidP="00FC437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0,00</w:t>
            </w:r>
          </w:p>
        </w:tc>
      </w:tr>
    </w:tbl>
    <w:p w14:paraId="588FB53B" w14:textId="77777777" w:rsidR="000F6C1C" w:rsidRDefault="000F6C1C" w:rsidP="000F6C1C">
      <w:pPr>
        <w:spacing w:line="240" w:lineRule="auto"/>
        <w:contextualSpacing/>
        <w:jc w:val="center"/>
      </w:pPr>
    </w:p>
    <w:p w14:paraId="1C288395" w14:textId="77777777" w:rsidR="000F6C1C" w:rsidRDefault="000F6C1C" w:rsidP="000F6C1C">
      <w:pPr>
        <w:spacing w:line="240" w:lineRule="auto"/>
        <w:contextualSpacing/>
      </w:pPr>
    </w:p>
    <w:p w14:paraId="594CBB3A" w14:textId="77777777" w:rsidR="000F6C1C" w:rsidRDefault="000F6C1C" w:rsidP="000F6C1C">
      <w:pPr>
        <w:spacing w:line="240" w:lineRule="auto"/>
        <w:contextualSpacing/>
      </w:pPr>
      <w:r>
        <w:t>PRENESENI VIŠAK/MANJAK I VIŠEGODIŠNJI PLAN URAVNOTEŽENJA</w:t>
      </w:r>
    </w:p>
    <w:p w14:paraId="6FB78093" w14:textId="77777777" w:rsidR="000F6C1C" w:rsidRDefault="000F6C1C" w:rsidP="000F6C1C">
      <w:pPr>
        <w:spacing w:line="240" w:lineRule="auto"/>
        <w:contextualSpacing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559"/>
        <w:gridCol w:w="1554"/>
      </w:tblGrid>
      <w:tr w:rsidR="000F6C1C" w14:paraId="2A3CEA7B" w14:textId="77777777" w:rsidTr="00FC437B">
        <w:tc>
          <w:tcPr>
            <w:tcW w:w="4106" w:type="dxa"/>
          </w:tcPr>
          <w:p w14:paraId="6DCC85CE" w14:textId="77777777" w:rsidR="000F6C1C" w:rsidRDefault="000F6C1C" w:rsidP="00FC437B">
            <w:pPr>
              <w:contextualSpacing/>
            </w:pPr>
            <w:r>
              <w:t>Ukupan donos viška/manjka iz prethodne/ih godina</w:t>
            </w:r>
          </w:p>
        </w:tc>
        <w:tc>
          <w:tcPr>
            <w:tcW w:w="1843" w:type="dxa"/>
          </w:tcPr>
          <w:p w14:paraId="5A361A28" w14:textId="77777777" w:rsidR="000F6C1C" w:rsidRDefault="000F6C1C" w:rsidP="00FC437B">
            <w:pPr>
              <w:contextualSpacing/>
              <w:jc w:val="center"/>
            </w:pPr>
            <w:r>
              <w:t>-3.487,44</w:t>
            </w:r>
          </w:p>
        </w:tc>
        <w:tc>
          <w:tcPr>
            <w:tcW w:w="1559" w:type="dxa"/>
          </w:tcPr>
          <w:p w14:paraId="68966724" w14:textId="77777777" w:rsidR="000F6C1C" w:rsidRDefault="000F6C1C" w:rsidP="00FC437B">
            <w:pPr>
              <w:contextualSpacing/>
              <w:jc w:val="center"/>
            </w:pPr>
            <w:r>
              <w:t>-3.135,33</w:t>
            </w:r>
          </w:p>
        </w:tc>
        <w:tc>
          <w:tcPr>
            <w:tcW w:w="1554" w:type="dxa"/>
          </w:tcPr>
          <w:p w14:paraId="6CFFBE85" w14:textId="77777777" w:rsidR="000F6C1C" w:rsidRDefault="000F6C1C" w:rsidP="00FC437B">
            <w:pPr>
              <w:contextualSpacing/>
              <w:jc w:val="center"/>
            </w:pPr>
            <w:r>
              <w:t>-3135,33</w:t>
            </w:r>
          </w:p>
        </w:tc>
      </w:tr>
      <w:tr w:rsidR="000F6C1C" w14:paraId="53DBD20A" w14:textId="77777777" w:rsidTr="00FC437B">
        <w:tc>
          <w:tcPr>
            <w:tcW w:w="4106" w:type="dxa"/>
          </w:tcPr>
          <w:p w14:paraId="7DFC3564" w14:textId="77777777" w:rsidR="000F6C1C" w:rsidRDefault="000F6C1C" w:rsidP="00FC437B">
            <w:pPr>
              <w:contextualSpacing/>
            </w:pPr>
            <w:r>
              <w:t>Višak/manjak iz prethodne/ih godine koji će se rasporediti/pokriti</w:t>
            </w:r>
          </w:p>
        </w:tc>
        <w:tc>
          <w:tcPr>
            <w:tcW w:w="1843" w:type="dxa"/>
          </w:tcPr>
          <w:p w14:paraId="4F992CD2" w14:textId="77777777" w:rsidR="000F6C1C" w:rsidRDefault="000F6C1C" w:rsidP="00FC437B">
            <w:pPr>
              <w:contextualSpacing/>
              <w:jc w:val="center"/>
            </w:pPr>
            <w:r>
              <w:t>-3.487,44</w:t>
            </w:r>
          </w:p>
        </w:tc>
        <w:tc>
          <w:tcPr>
            <w:tcW w:w="1559" w:type="dxa"/>
          </w:tcPr>
          <w:p w14:paraId="425958EB" w14:textId="77777777" w:rsidR="000F6C1C" w:rsidRDefault="000F6C1C" w:rsidP="00FC437B">
            <w:pPr>
              <w:contextualSpacing/>
              <w:jc w:val="center"/>
            </w:pPr>
            <w:r>
              <w:t>-3.135,33</w:t>
            </w:r>
          </w:p>
        </w:tc>
        <w:tc>
          <w:tcPr>
            <w:tcW w:w="1554" w:type="dxa"/>
          </w:tcPr>
          <w:p w14:paraId="78B50709" w14:textId="77777777" w:rsidR="000F6C1C" w:rsidRDefault="000F6C1C" w:rsidP="00FC437B">
            <w:pPr>
              <w:contextualSpacing/>
              <w:jc w:val="center"/>
            </w:pPr>
            <w:r>
              <w:t>-3135,33</w:t>
            </w:r>
          </w:p>
        </w:tc>
      </w:tr>
      <w:tr w:rsidR="000F6C1C" w14:paraId="7351E169" w14:textId="77777777" w:rsidTr="00FC437B">
        <w:tc>
          <w:tcPr>
            <w:tcW w:w="4106" w:type="dxa"/>
          </w:tcPr>
          <w:p w14:paraId="3315A785" w14:textId="77777777" w:rsidR="000F6C1C" w:rsidRPr="000B3424" w:rsidRDefault="000F6C1C" w:rsidP="00FC437B">
            <w:pPr>
              <w:contextualSpacing/>
              <w:rPr>
                <w:b/>
                <w:bCs/>
                <w:i/>
                <w:iCs/>
              </w:rPr>
            </w:pPr>
            <w:r w:rsidRPr="000B3424">
              <w:rPr>
                <w:b/>
                <w:bCs/>
                <w:i/>
                <w:iCs/>
              </w:rPr>
              <w:t>VIŠAK/MANJAK + NETO FINANCIRANJE + RASPOLOŽIVA SREDSTVA IZ PRETHODNIH GODINA</w:t>
            </w:r>
          </w:p>
        </w:tc>
        <w:tc>
          <w:tcPr>
            <w:tcW w:w="1843" w:type="dxa"/>
          </w:tcPr>
          <w:p w14:paraId="60C863A5" w14:textId="77777777" w:rsidR="000F6C1C" w:rsidRPr="000B3424" w:rsidRDefault="000F6C1C" w:rsidP="00FC437B">
            <w:pPr>
              <w:contextualSpacing/>
              <w:jc w:val="center"/>
              <w:rPr>
                <w:i/>
                <w:iCs/>
              </w:rPr>
            </w:pPr>
            <w:r w:rsidRPr="000B3424">
              <w:rPr>
                <w:i/>
                <w:iCs/>
              </w:rPr>
              <w:t>3.135,33</w:t>
            </w:r>
          </w:p>
        </w:tc>
        <w:tc>
          <w:tcPr>
            <w:tcW w:w="1559" w:type="dxa"/>
          </w:tcPr>
          <w:p w14:paraId="02A391FA" w14:textId="77777777" w:rsidR="000F6C1C" w:rsidRPr="000B3424" w:rsidRDefault="000F6C1C" w:rsidP="00FC437B">
            <w:pPr>
              <w:contextualSpacing/>
              <w:jc w:val="center"/>
              <w:rPr>
                <w:i/>
                <w:iCs/>
              </w:rPr>
            </w:pPr>
            <w:r w:rsidRPr="000B3424">
              <w:rPr>
                <w:i/>
                <w:iCs/>
              </w:rPr>
              <w:t>0,00</w:t>
            </w:r>
          </w:p>
        </w:tc>
        <w:tc>
          <w:tcPr>
            <w:tcW w:w="1554" w:type="dxa"/>
          </w:tcPr>
          <w:p w14:paraId="5823DFE9" w14:textId="77777777" w:rsidR="000F6C1C" w:rsidRPr="000B3424" w:rsidRDefault="000F6C1C" w:rsidP="00FC437B">
            <w:pPr>
              <w:contextualSpacing/>
              <w:jc w:val="center"/>
              <w:rPr>
                <w:i/>
                <w:iCs/>
              </w:rPr>
            </w:pPr>
            <w:r w:rsidRPr="000B3424">
              <w:rPr>
                <w:i/>
                <w:iCs/>
              </w:rPr>
              <w:t>-</w:t>
            </w:r>
            <w:r>
              <w:rPr>
                <w:i/>
                <w:iCs/>
              </w:rPr>
              <w:t>.</w:t>
            </w:r>
            <w:r w:rsidRPr="000B3424">
              <w:rPr>
                <w:i/>
                <w:iCs/>
              </w:rPr>
              <w:t>4598,84</w:t>
            </w:r>
          </w:p>
        </w:tc>
      </w:tr>
    </w:tbl>
    <w:p w14:paraId="27415BFA" w14:textId="77777777" w:rsidR="000F6C1C" w:rsidRDefault="000F6C1C" w:rsidP="000F6C1C"/>
    <w:p w14:paraId="11724FC7" w14:textId="77777777" w:rsidR="000F6C1C" w:rsidRPr="000B3424" w:rsidRDefault="000F6C1C" w:rsidP="000F6C1C">
      <w:pPr>
        <w:rPr>
          <w:b/>
          <w:bCs/>
        </w:rPr>
      </w:pPr>
      <w:r w:rsidRPr="000B3424">
        <w:rPr>
          <w:b/>
          <w:bCs/>
        </w:rPr>
        <w:t>Članak 2.</w:t>
      </w:r>
    </w:p>
    <w:p w14:paraId="696B437B" w14:textId="77777777" w:rsidR="000F6C1C" w:rsidRDefault="000F6C1C" w:rsidP="000F6C1C">
      <w:pPr>
        <w:jc w:val="both"/>
      </w:pPr>
      <w:r>
        <w:t>U računu prihoda i rashoda u kojem su iskazani prihodi i rashodi po proračunskim klasifikacijama, izvršeni su kako slijedi:</w:t>
      </w:r>
    </w:p>
    <w:p w14:paraId="6839E12A" w14:textId="77777777" w:rsidR="00171BCD" w:rsidRDefault="00171BCD"/>
    <w:sectPr w:rsidR="00171BCD" w:rsidSect="000F6C1C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1C"/>
    <w:rsid w:val="000F6C1C"/>
    <w:rsid w:val="00171BCD"/>
    <w:rsid w:val="00262003"/>
    <w:rsid w:val="0082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1C63"/>
  <w15:chartTrackingRefBased/>
  <w15:docId w15:val="{D2A70BAA-04C9-444C-AC4E-B34785FA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C1C"/>
  </w:style>
  <w:style w:type="paragraph" w:styleId="Naslov1">
    <w:name w:val="heading 1"/>
    <w:basedOn w:val="Normal"/>
    <w:next w:val="Normal"/>
    <w:link w:val="Naslov1Char"/>
    <w:uiPriority w:val="9"/>
    <w:qFormat/>
    <w:rsid w:val="000F6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6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6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6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6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6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6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6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6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6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6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6C1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6C1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6C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6C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6C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6C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6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6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6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6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6C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6C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6C1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6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6C1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6C1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F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RAŠTEGORAC</dc:creator>
  <cp:keywords/>
  <dc:description/>
  <cp:lastModifiedBy>DAJANA RAŠTEGORAC</cp:lastModifiedBy>
  <cp:revision>1</cp:revision>
  <dcterms:created xsi:type="dcterms:W3CDTF">2025-02-27T13:33:00Z</dcterms:created>
  <dcterms:modified xsi:type="dcterms:W3CDTF">2025-02-27T13:33:00Z</dcterms:modified>
</cp:coreProperties>
</file>